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hAnsi="仿宋" w:eastAsia="仿宋_GB2312" w:cs="仿宋_GB2312"/>
          <w:b/>
          <w:bCs/>
          <w:sz w:val="40"/>
          <w:szCs w:val="40"/>
          <w:lang w:bidi="ar"/>
        </w:rPr>
      </w:pPr>
      <w:r>
        <w:rPr>
          <w:rFonts w:hint="eastAsia" w:ascii="仿宋_GB2312" w:hAnsi="仿宋" w:eastAsia="仿宋_GB2312" w:cs="仿宋_GB2312"/>
          <w:b/>
          <w:bCs/>
          <w:sz w:val="40"/>
          <w:szCs w:val="40"/>
          <w:lang w:bidi="ar"/>
        </w:rPr>
        <w:t>申报材料目录及指南</w:t>
      </w:r>
    </w:p>
    <w:p>
      <w:pPr>
        <w:pStyle w:val="2"/>
        <w:ind w:firstLine="280"/>
      </w:pP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rPr>
          <w:rFonts w:ascii="仿宋_GB2312" w:hAnsi="仿宋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11月1日前提供参评企业标准电子版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rPr>
          <w:rFonts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11月1日前提供上传企业标准到企业标准信息公共服务平台</w:t>
      </w:r>
      <w:r>
        <w:rPr>
          <w:rFonts w:hint="eastAsia" w:ascii="仿宋_GB2312" w:hAnsi="仿宋" w:eastAsia="仿宋_GB2312" w:cs="仿宋_GB2312"/>
          <w:shd w:val="clear" w:color="auto" w:fill="FFFFFF"/>
        </w:rPr>
        <w:t>（http://www.qybz.org.cn/）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的截图（截图上需包含标准名称、企业名称、标准编号、执行标准的产品名称及型号）。</w:t>
      </w:r>
    </w:p>
    <w:p>
      <w:pPr>
        <w:pStyle w:val="4"/>
        <w:shd w:val="clear" w:color="auto" w:fill="FFFFFF"/>
        <w:spacing w:line="375" w:lineRule="atLeast"/>
        <w:ind w:firstLine="643" w:firstLineChars="200"/>
        <w:rPr>
          <w:rFonts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注意：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企业标准需全文上传；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rPr>
          <w:rFonts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11月1日前提供承诺书（见附件2）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rPr>
          <w:rFonts w:ascii="仿宋_GB2312" w:hAnsi="仿宋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11月1日前提供企业标准指标信息表（见附件3）</w:t>
      </w:r>
    </w:p>
    <w:p>
      <w:pPr>
        <w:pStyle w:val="4"/>
        <w:numPr>
          <w:ilvl w:val="0"/>
          <w:numId w:val="1"/>
        </w:numPr>
        <w:shd w:val="clear" w:color="auto" w:fill="FFFFFF"/>
        <w:spacing w:line="375" w:lineRule="atLeast"/>
        <w:rPr>
          <w:rFonts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其他相关证明：如企业标准达到评价标准的一级水平，于11月15日前，提供“第三方检测机构的检测报告”、“质量管理体系认证证书”、“环境管理体系认证认证证书”、职业健康安全和能源管理体系认证证书”、国家企业信用信息公示系统下载的企业信用信息公示报告。</w:t>
      </w:r>
    </w:p>
    <w:p>
      <w:pP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br w:type="page"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1年企业标准“领跑者”名单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企业承诺书（产品类）</w:t>
      </w: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仿宋_GB2312" w:hAnsi="仿宋_GB2312" w:cs="仿宋_GB2312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XXX（企业名）承诺2021年获得企业标准“领跑者”的XX-XXX《YYY》（企业标准编号及标准名称）及相关信息真实有效，依据该标准生产的产品为量产定型产品，且具有一定的销量（如：10万台），主要销售或供应渠道为xxxx（如：xxx商城或采购商名称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 xml:space="preserve">                                   XX（公章）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Meiryo UI" w:hAnsi="Meiryo UI" w:cs="Meiryo UI"/>
          <w:sz w:val="32"/>
          <w:szCs w:val="32"/>
        </w:rPr>
      </w:pPr>
      <w:r>
        <w:rPr>
          <w:rFonts w:hint="eastAsia" w:ascii="Meiryo UI" w:hAnsi="Meiryo UI" w:cs="Meiryo UI"/>
          <w:sz w:val="32"/>
          <w:szCs w:val="32"/>
        </w:rPr>
        <w:t>时间</w:t>
      </w:r>
    </w:p>
    <w:p>
      <w:r>
        <w:br w:type="page"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企业标准指标信息表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企业地址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统一社会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信用代码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企业标准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标准编号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符合标准的产品型号</w:t>
            </w:r>
          </w:p>
        </w:tc>
        <w:tc>
          <w:tcPr>
            <w:tcW w:w="7009" w:type="dxa"/>
            <w:noWrap/>
            <w:vAlign w:val="top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tbl>
      <w:tblPr>
        <w:tblStyle w:val="5"/>
        <w:tblW w:w="90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028"/>
        <w:gridCol w:w="2199"/>
        <w:gridCol w:w="3000"/>
        <w:gridCol w:w="2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Header/>
          <w:jc w:val="center"/>
        </w:trPr>
        <w:tc>
          <w:tcPr>
            <w:tcW w:w="55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227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2236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企业标准指标值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restart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热效率/%</w:t>
            </w: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非冷凝炉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热水η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restart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冷凝炉</w:t>
            </w: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供暖η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极限热输入时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CO含量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/%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加热时间/s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冷凝炉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噪声</w:t>
            </w:r>
          </w:p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（声功率）/dB（A）</w:t>
            </w: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≤40（kW）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室内型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室外型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40＜Ф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≤70（kW）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室内型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室外型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70＜Ф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＜100（kW）</w:t>
            </w: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室内型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室外型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模块炉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9"/>
              <w:widowControl w:val="0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restart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干烟气中NOx排放限定值/（mg/kW·h）</w:t>
            </w: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大气式燃烧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全预混燃烧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58" w:type="dxa"/>
            <w:vMerge w:val="restart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表面</w:t>
            </w:r>
          </w:p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温升/K</w:t>
            </w: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调节和控制装置装置中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必需接触的部位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金属件和玻璃触摸屏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瓷件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塑料件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侧面、前面</w:t>
            </w:r>
          </w:p>
        </w:tc>
        <w:tc>
          <w:tcPr>
            <w:tcW w:w="223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顶部</w:t>
            </w:r>
          </w:p>
        </w:tc>
        <w:tc>
          <w:tcPr>
            <w:tcW w:w="223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99" w:type="dxa"/>
            <w:gridSpan w:val="2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测试板和安装底板</w:t>
            </w:r>
          </w:p>
        </w:tc>
        <w:tc>
          <w:tcPr>
            <w:tcW w:w="2236" w:type="dxa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出热水最低温升/K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远程控制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558" w:type="dxa"/>
            <w:noWrap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可靠性要求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C98E7"/>
    <w:multiLevelType w:val="singleLevel"/>
    <w:tmpl w:val="DA4C98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334A4C"/>
    <w:multiLevelType w:val="singleLevel"/>
    <w:tmpl w:val="13334A4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A4621"/>
    <w:rsid w:val="0E1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  <w:jc w:val="center"/>
    </w:pPr>
    <w:rPr>
      <w:rFonts w:ascii="Times New Roman" w:hAnsi="Times New Roman" w:eastAsia="黑体"/>
      <w:sz w:val="2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标准文件_表格"/>
    <w:basedOn w:val="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2021-09-26T02:33:00Z</dcterms:created>
  <dc:creator>JOY</dc:creator>
  <cp:lastModifiedBy>JOY</cp:lastModifiedBy>
  <dcterms:modified xsi:type="dcterms:W3CDTF">2021-09-26T02:33:53Z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2CB02EB4864B484A9298D1B95A84BFEC</vt:lpwstr>
  </property>
</Properties>
</file>